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Reflection on the Guide’s Collapse: A Paradox of Belief and Observation</w:t>
      </w:r>
    </w:p>
    <w:p>
      <w:pPr>
        <w:pStyle w:val="Heading4"/>
        <w:bidi w:val="0"/>
        <w:jc w:val="start"/>
        <w:rPr/>
      </w:pPr>
      <w:r>
        <w:rPr>
          <w:rStyle w:val="Strong"/>
          <w:b/>
          <w:bCs/>
        </w:rPr>
        <w:t>1. The Guide’s Initial Success and Sudden Failure</w:t>
      </w:r>
    </w:p>
    <w:p>
      <w:pPr>
        <w:pStyle w:val="BodyText"/>
        <w:bidi w:val="0"/>
        <w:jc w:val="start"/>
        <w:rPr/>
      </w:pPr>
      <w:r>
        <w:rPr/>
        <w:t xml:space="preserve">I had created a guide—one that worked </w:t>
      </w:r>
      <w:r>
        <w:rPr>
          <w:rStyle w:val="Emphasis"/>
        </w:rPr>
        <w:t>brilliantly</w:t>
      </w:r>
      <w:r>
        <w:rPr/>
        <w:t xml:space="preserve"> at first. It felt airtight, effective, even transformative. But then I went to sleep. When I woke up the next morning, everything had changed. The guide no longer </w:t>
      </w:r>
      <w:r>
        <w:rPr>
          <w:rStyle w:val="Emphasis"/>
        </w:rPr>
        <w:t>applied</w:t>
      </w:r>
      <w:r>
        <w:rPr/>
        <w:t xml:space="preserve">. It wasn’t that it stopped working mechanically; it was as if my mind, during the night, had </w:t>
      </w:r>
      <w:r>
        <w:rPr>
          <w:rStyle w:val="Strong"/>
        </w:rPr>
        <w:t>uncovered a contradiction</w:t>
      </w:r>
      <w:r>
        <w:rPr/>
        <w:t xml:space="preserve"> within it. A paradox. And once seen, it couldn’t be unseen.</w:t>
      </w:r>
    </w:p>
    <w:p>
      <w:pPr>
        <w:pStyle w:val="BodyText"/>
        <w:bidi w:val="0"/>
        <w:jc w:val="start"/>
        <w:rPr/>
      </w:pPr>
      <w:r>
        <w:rPr/>
        <w:t xml:space="preserve">This wasn’t the first time. I’ve faced this before—like with the guide where I declared </w:t>
      </w:r>
      <w:r>
        <w:rPr>
          <w:rStyle w:val="Emphasis"/>
        </w:rPr>
        <w:t>"all words are bullshit."</w:t>
      </w:r>
      <w:r>
        <w:rPr/>
        <w:t xml:space="preserve"> That, too, had a paradox at its core: if all words are meaningless, then the words </w:t>
      </w:r>
      <w:r>
        <w:rPr>
          <w:rStyle w:val="Emphasis"/>
        </w:rPr>
        <w:t>"all words are bullshit"</w:t>
      </w:r>
      <w:r>
        <w:rPr/>
        <w:t xml:space="preserve"> must also be meaningless. So how do you resolve that? How do you act on a statement that undermines itself?</w:t>
      </w:r>
    </w:p>
    <w:p>
      <w:pPr>
        <w:pStyle w:val="Heading4"/>
        <w:bidi w:val="0"/>
        <w:jc w:val="start"/>
        <w:rPr/>
      </w:pPr>
      <w:r>
        <w:rPr>
          <w:rStyle w:val="Strong"/>
          <w:b/>
          <w:bCs/>
        </w:rPr>
        <w:t>2. Resolving the First Paradox: The Role of Faith</w:t>
      </w:r>
    </w:p>
    <w:p>
      <w:pPr>
        <w:pStyle w:val="BodyText"/>
        <w:bidi w:val="0"/>
        <w:jc w:val="start"/>
        <w:rPr/>
      </w:pPr>
      <w:r>
        <w:rPr/>
        <w:t xml:space="preserve">Back then, I cracked it with </w:t>
      </w:r>
      <w:r>
        <w:rPr>
          <w:rStyle w:val="Strong"/>
        </w:rPr>
        <w:t>faith</w:t>
      </w:r>
      <w:r>
        <w:rPr/>
        <w:t xml:space="preserve">. I decided to </w:t>
      </w:r>
      <w:r>
        <w:rPr>
          <w:rStyle w:val="Emphasis"/>
        </w:rPr>
        <w:t>believe</w:t>
      </w:r>
      <w:r>
        <w:rPr/>
        <w:t xml:space="preserve"> that all words were bullshit, and that belief itself became the loophole. Here’s how it worked:</w:t>
      </w:r>
    </w:p>
    <w:p>
      <w:pPr>
        <w:pStyle w:val="BodyText"/>
        <w:numPr>
          <w:ilvl w:val="0"/>
          <w:numId w:val="1"/>
        </w:numPr>
        <w:tabs>
          <w:tab w:val="clear" w:pos="709"/>
          <w:tab w:val="left" w:pos="709" w:leader="none"/>
        </w:tabs>
        <w:bidi w:val="0"/>
        <w:spacing w:before="0" w:after="0"/>
        <w:ind w:hanging="283" w:start="709"/>
        <w:jc w:val="start"/>
        <w:rPr/>
      </w:pPr>
      <w:r>
        <w:rPr/>
        <w:t xml:space="preserve">The statement </w:t>
      </w:r>
      <w:r>
        <w:rPr>
          <w:rStyle w:val="Emphasis"/>
        </w:rPr>
        <w:t>"all words are bullshit"</w:t>
      </w:r>
      <w:r>
        <w:rPr/>
        <w:t xml:space="preserve"> would normally cancel itself out. </w:t>
      </w:r>
    </w:p>
    <w:p>
      <w:pPr>
        <w:pStyle w:val="BodyText"/>
        <w:numPr>
          <w:ilvl w:val="0"/>
          <w:numId w:val="1"/>
        </w:numPr>
        <w:tabs>
          <w:tab w:val="clear" w:pos="709"/>
          <w:tab w:val="left" w:pos="709" w:leader="none"/>
        </w:tabs>
        <w:bidi w:val="0"/>
        <w:spacing w:before="0" w:after="0"/>
        <w:ind w:hanging="283" w:start="709"/>
        <w:jc w:val="start"/>
        <w:rPr/>
      </w:pPr>
      <w:r>
        <w:rPr/>
        <w:t xml:space="preserve">But if I </w:t>
      </w:r>
      <w:r>
        <w:rPr>
          <w:rStyle w:val="Emphasis"/>
        </w:rPr>
        <w:t>believed</w:t>
      </w:r>
      <w:r>
        <w:rPr/>
        <w:t xml:space="preserve"> it, then the belief protected it from self-destruction. </w:t>
      </w:r>
    </w:p>
    <w:p>
      <w:pPr>
        <w:pStyle w:val="BodyText"/>
        <w:numPr>
          <w:ilvl w:val="0"/>
          <w:numId w:val="1"/>
        </w:numPr>
        <w:tabs>
          <w:tab w:val="clear" w:pos="709"/>
          <w:tab w:val="left" w:pos="709" w:leader="none"/>
        </w:tabs>
        <w:bidi w:val="0"/>
        <w:ind w:hanging="283" w:start="709"/>
        <w:jc w:val="start"/>
        <w:rPr/>
      </w:pPr>
      <w:r>
        <w:rPr/>
        <w:t xml:space="preserve">Faith, in this case, </w:t>
      </w:r>
      <w:r>
        <w:rPr>
          <w:rStyle w:val="Strong"/>
        </w:rPr>
        <w:t>neutralized the very thing that would otherwise dismantle it</w:t>
      </w:r>
      <w:r>
        <w:rPr/>
        <w:t xml:space="preserve">. </w:t>
      </w:r>
    </w:p>
    <w:p>
      <w:pPr>
        <w:pStyle w:val="BodyText"/>
        <w:bidi w:val="0"/>
        <w:jc w:val="start"/>
        <w:rPr/>
      </w:pPr>
      <w:r>
        <w:rPr/>
        <w:t xml:space="preserve">It was a closed loop: belief shielded the idea from its own logic. The paradox dissolved because I </w:t>
      </w:r>
      <w:r>
        <w:rPr>
          <w:rStyle w:val="Emphasis"/>
        </w:rPr>
        <w:t>chose</w:t>
      </w:r>
      <w:r>
        <w:rPr/>
        <w:t xml:space="preserve"> to hold it as true, despite its inherent contradiction.</w:t>
      </w:r>
    </w:p>
    <w:p>
      <w:pPr>
        <w:pStyle w:val="Heading4"/>
        <w:bidi w:val="0"/>
        <w:jc w:val="start"/>
        <w:rPr/>
      </w:pPr>
      <w:r>
        <w:rPr>
          <w:rStyle w:val="Strong"/>
          <w:b/>
          <w:bCs/>
        </w:rPr>
        <w:t>3. The New Guide: A State Without Faith</w:t>
      </w:r>
    </w:p>
    <w:p>
      <w:pPr>
        <w:pStyle w:val="BodyText"/>
        <w:bidi w:val="0"/>
        <w:jc w:val="start"/>
        <w:rPr/>
      </w:pPr>
      <w:r>
        <w:rPr/>
        <w:t xml:space="preserve">This time, though, I tried something different. The latest guide was built </w:t>
      </w:r>
      <w:r>
        <w:rPr>
          <w:rStyle w:val="Strong"/>
        </w:rPr>
        <w:t>without faith</w:t>
      </w:r>
      <w:r>
        <w:rPr/>
        <w:t xml:space="preserve">. No reliance on belief, no mental crutches—just </w:t>
      </w:r>
      <w:r>
        <w:rPr>
          <w:rStyle w:val="Strong"/>
        </w:rPr>
        <w:t>pure observation</w:t>
      </w:r>
      <w:r>
        <w:rPr/>
        <w:t>. A state of:</w:t>
      </w:r>
    </w:p>
    <w:p>
      <w:pPr>
        <w:pStyle w:val="BodyText"/>
        <w:numPr>
          <w:ilvl w:val="0"/>
          <w:numId w:val="2"/>
        </w:numPr>
        <w:tabs>
          <w:tab w:val="clear" w:pos="709"/>
          <w:tab w:val="left" w:pos="709" w:leader="none"/>
        </w:tabs>
        <w:bidi w:val="0"/>
        <w:spacing w:before="0" w:after="0"/>
        <w:ind w:hanging="283" w:start="709"/>
        <w:jc w:val="start"/>
        <w:rPr/>
      </w:pPr>
      <w:r>
        <w:rPr/>
        <w:t xml:space="preserve">No mental chatter. </w:t>
      </w:r>
    </w:p>
    <w:p>
      <w:pPr>
        <w:pStyle w:val="BodyText"/>
        <w:numPr>
          <w:ilvl w:val="0"/>
          <w:numId w:val="2"/>
        </w:numPr>
        <w:tabs>
          <w:tab w:val="clear" w:pos="709"/>
          <w:tab w:val="left" w:pos="709" w:leader="none"/>
        </w:tabs>
        <w:bidi w:val="0"/>
        <w:spacing w:before="0" w:after="0"/>
        <w:ind w:hanging="283" w:start="709"/>
        <w:jc w:val="start"/>
        <w:rPr/>
      </w:pPr>
      <w:r>
        <w:rPr/>
        <w:t xml:space="preserve">No attachment to thoughts. </w:t>
      </w:r>
    </w:p>
    <w:p>
      <w:pPr>
        <w:pStyle w:val="BodyText"/>
        <w:numPr>
          <w:ilvl w:val="0"/>
          <w:numId w:val="2"/>
        </w:numPr>
        <w:tabs>
          <w:tab w:val="clear" w:pos="709"/>
          <w:tab w:val="left" w:pos="709" w:leader="none"/>
        </w:tabs>
        <w:bidi w:val="0"/>
        <w:spacing w:before="0" w:after="0"/>
        <w:ind w:hanging="283" w:start="709"/>
        <w:jc w:val="start"/>
        <w:rPr/>
      </w:pPr>
      <w:r>
        <w:rPr/>
        <w:t xml:space="preserve">No "high" from conviction. </w:t>
      </w:r>
    </w:p>
    <w:p>
      <w:pPr>
        <w:pStyle w:val="BodyText"/>
        <w:numPr>
          <w:ilvl w:val="0"/>
          <w:numId w:val="2"/>
        </w:numPr>
        <w:tabs>
          <w:tab w:val="clear" w:pos="709"/>
          <w:tab w:val="left" w:pos="709" w:leader="none"/>
        </w:tabs>
        <w:bidi w:val="0"/>
        <w:ind w:hanging="283" w:start="709"/>
        <w:jc w:val="start"/>
        <w:rPr/>
      </w:pPr>
      <w:r>
        <w:rPr/>
        <w:t xml:space="preserve">Just </w:t>
      </w:r>
      <w:r>
        <w:rPr>
          <w:rStyle w:val="Strong"/>
        </w:rPr>
        <w:t>raw sensation</w:t>
      </w:r>
      <w:r>
        <w:rPr/>
        <w:t xml:space="preserve">, unfiltered by interpretation. </w:t>
      </w:r>
    </w:p>
    <w:p>
      <w:pPr>
        <w:pStyle w:val="BodyText"/>
        <w:bidi w:val="0"/>
        <w:jc w:val="start"/>
        <w:rPr/>
      </w:pPr>
      <w:r>
        <w:rPr/>
        <w:t xml:space="preserve">And it </w:t>
      </w:r>
      <w:r>
        <w:rPr>
          <w:rStyle w:val="Emphasis"/>
        </w:rPr>
        <w:t>worked</w:t>
      </w:r>
      <w:r>
        <w:rPr/>
        <w:t>—for a while. The key mechanism was a single phrase:</w:t>
      </w:r>
    </w:p>
    <w:p>
      <w:pPr>
        <w:pStyle w:val="Style15"/>
        <w:bidi w:val="0"/>
        <w:jc w:val="start"/>
        <w:rPr/>
      </w:pPr>
      <w:r>
        <w:rPr>
          <w:rStyle w:val="Emphasis"/>
        </w:rPr>
        <w:t>"I cancel the effect of all words because I cannot prove them to myself."</w:t>
      </w:r>
    </w:p>
    <w:p>
      <w:pPr>
        <w:pStyle w:val="BodyText"/>
        <w:bidi w:val="0"/>
        <w:jc w:val="start"/>
        <w:rPr/>
      </w:pPr>
      <w:r>
        <w:rPr/>
        <w:t xml:space="preserve">I repeated it, and for a moment, it felt like I’d </w:t>
      </w:r>
      <w:r>
        <w:rPr>
          <w:rStyle w:val="Strong"/>
        </w:rPr>
        <w:t>erased the influence of language entirely</w:t>
      </w:r>
      <w:r>
        <w:rPr/>
        <w:t>. No more mental noise, no more conceptual baggage. Just presence.</w:t>
      </w:r>
    </w:p>
    <w:p>
      <w:pPr>
        <w:pStyle w:val="Heading4"/>
        <w:bidi w:val="0"/>
        <w:jc w:val="start"/>
        <w:rPr/>
      </w:pPr>
      <w:r>
        <w:rPr>
          <w:rStyle w:val="Strong"/>
          <w:b/>
          <w:bCs/>
        </w:rPr>
        <w:t>4. The Paradox Reemerges</w:t>
      </w:r>
    </w:p>
    <w:p>
      <w:pPr>
        <w:pStyle w:val="BodyText"/>
        <w:bidi w:val="0"/>
        <w:jc w:val="start"/>
        <w:rPr/>
      </w:pPr>
      <w:r>
        <w:rPr/>
        <w:t xml:space="preserve">But then, inevitably, the mind did what it does: it </w:t>
      </w:r>
      <w:r>
        <w:rPr>
          <w:rStyle w:val="Strong"/>
        </w:rPr>
        <w:t>spotted the flaw</w:t>
      </w:r>
      <w:r>
        <w:rPr/>
        <w:t>.</w:t>
      </w:r>
    </w:p>
    <w:p>
      <w:pPr>
        <w:pStyle w:val="BodyText"/>
        <w:bidi w:val="0"/>
        <w:jc w:val="start"/>
        <w:rPr/>
      </w:pPr>
      <w:r>
        <w:rPr/>
        <w:t xml:space="preserve">The phrase </w:t>
      </w:r>
      <w:r>
        <w:rPr>
          <w:rStyle w:val="Emphasis"/>
        </w:rPr>
        <w:t>"I cancel the effect of all words"</w:t>
      </w:r>
      <w:r>
        <w:rPr/>
        <w:t xml:space="preserve"> is itself… a </w:t>
      </w:r>
      <w:r>
        <w:rPr>
          <w:rStyle w:val="Emphasis"/>
        </w:rPr>
        <w:t>word</w:t>
      </w:r>
      <w:r>
        <w:rPr/>
        <w:t xml:space="preserve">. A statement. A conceptual construct. So if I’m canceling </w:t>
      </w:r>
      <w:r>
        <w:rPr>
          <w:rStyle w:val="Emphasis"/>
        </w:rPr>
        <w:t>all</w:t>
      </w:r>
      <w:r>
        <w:rPr/>
        <w:t xml:space="preserve"> words, does that include the words I’m using to cancel them? And if so, does the cancellation itself get canceled? It’s the same self-referential trap as before—just repackaged.</w:t>
      </w:r>
    </w:p>
    <w:p>
      <w:pPr>
        <w:pStyle w:val="BodyText"/>
        <w:bidi w:val="0"/>
        <w:jc w:val="start"/>
        <w:rPr/>
      </w:pPr>
      <w:r>
        <w:rPr/>
        <w:t xml:space="preserve">The difference this time? </w:t>
      </w:r>
      <w:r>
        <w:rPr>
          <w:rStyle w:val="Strong"/>
        </w:rPr>
        <w:t>There’s no faith to fall back on.</w:t>
      </w:r>
      <w:r>
        <w:rPr/>
        <w:t xml:space="preserve"> Last time, belief acted as a stabilizer. Now, without it, the guide collapses under its own logic. The state of pure observation can’t sustain itself because the tool used to achieve it is part of the very system it’s trying to dismantle.</w:t>
      </w:r>
    </w:p>
    <w:p>
      <w:pPr>
        <w:pStyle w:val="Heading4"/>
        <w:bidi w:val="0"/>
        <w:jc w:val="start"/>
        <w:rPr/>
      </w:pPr>
      <w:r>
        <w:rPr>
          <w:rStyle w:val="Strong"/>
          <w:b/>
          <w:bCs/>
        </w:rPr>
        <w:t>5. The Core Dilemma</w:t>
      </w:r>
    </w:p>
    <w:p>
      <w:pPr>
        <w:pStyle w:val="BodyText"/>
        <w:bidi w:val="0"/>
        <w:jc w:val="start"/>
        <w:rPr/>
      </w:pPr>
      <w:r>
        <w:rPr/>
        <w:t>So here’s the question:</w:t>
      </w:r>
    </w:p>
    <w:p>
      <w:pPr>
        <w:pStyle w:val="BodyText"/>
        <w:numPr>
          <w:ilvl w:val="0"/>
          <w:numId w:val="3"/>
        </w:numPr>
        <w:tabs>
          <w:tab w:val="clear" w:pos="709"/>
          <w:tab w:val="left" w:pos="709" w:leader="none"/>
        </w:tabs>
        <w:bidi w:val="0"/>
        <w:spacing w:before="0" w:after="0"/>
        <w:ind w:hanging="283" w:start="709"/>
        <w:jc w:val="start"/>
        <w:rPr/>
      </w:pPr>
      <w:r>
        <w:rPr>
          <w:rStyle w:val="Strong"/>
        </w:rPr>
        <w:t>Can a system of thought eliminate itself without leaving a trace?</w:t>
      </w:r>
      <w:r>
        <w:rPr/>
        <w:t xml:space="preserve"> </w:t>
      </w:r>
    </w:p>
    <w:p>
      <w:pPr>
        <w:pStyle w:val="BodyText"/>
        <w:numPr>
          <w:ilvl w:val="0"/>
          <w:numId w:val="3"/>
        </w:numPr>
        <w:tabs>
          <w:tab w:val="clear" w:pos="709"/>
          <w:tab w:val="left" w:pos="709" w:leader="none"/>
        </w:tabs>
        <w:bidi w:val="0"/>
        <w:spacing w:before="0" w:after="0"/>
        <w:ind w:hanging="283" w:start="709"/>
        <w:jc w:val="start"/>
        <w:rPr/>
      </w:pPr>
      <w:r>
        <w:rPr/>
        <w:t xml:space="preserve">If the method to dissolve words </w:t>
      </w:r>
      <w:r>
        <w:rPr>
          <w:rStyle w:val="Emphasis"/>
        </w:rPr>
        <w:t>requires words</w:t>
      </w:r>
      <w:r>
        <w:rPr/>
        <w:t xml:space="preserve">, is true dissolution even possible? </w:t>
      </w:r>
    </w:p>
    <w:p>
      <w:pPr>
        <w:pStyle w:val="BodyText"/>
        <w:numPr>
          <w:ilvl w:val="0"/>
          <w:numId w:val="3"/>
        </w:numPr>
        <w:tabs>
          <w:tab w:val="clear" w:pos="709"/>
          <w:tab w:val="left" w:pos="709" w:leader="none"/>
        </w:tabs>
        <w:bidi w:val="0"/>
        <w:ind w:hanging="283" w:start="709"/>
        <w:jc w:val="start"/>
        <w:rPr/>
      </w:pPr>
      <w:r>
        <w:rPr/>
        <w:t xml:space="preserve">Or is faith—the act of </w:t>
      </w:r>
      <w:r>
        <w:rPr>
          <w:rStyle w:val="Emphasis"/>
        </w:rPr>
        <w:t>choosing</w:t>
      </w:r>
      <w:r>
        <w:rPr/>
        <w:t xml:space="preserve"> to believe despite paradox—the only way to hold such ideas together? </w:t>
      </w:r>
    </w:p>
    <w:p>
      <w:pPr>
        <w:pStyle w:val="BodyText"/>
        <w:bidi w:val="0"/>
        <w:jc w:val="start"/>
        <w:rPr/>
      </w:pPr>
      <w:r>
        <w:rPr/>
        <w:t xml:space="preserve">The first guide survived because I </w:t>
      </w:r>
      <w:r>
        <w:rPr>
          <w:rStyle w:val="Emphasis"/>
        </w:rPr>
        <w:t>willed</w:t>
      </w:r>
      <w:r>
        <w:rPr/>
        <w:t xml:space="preserve"> it to. This one failed because it demanded </w:t>
      </w:r>
      <w:r>
        <w:rPr>
          <w:rStyle w:val="Strong"/>
        </w:rPr>
        <w:t>absolute consistency</w:t>
      </w:r>
      <w:r>
        <w:rPr/>
        <w:t>, and the mind, when left to its own devices, will always find the inconsistency.</w:t>
      </w:r>
    </w:p>
    <w:p>
      <w:pPr>
        <w:pStyle w:val="Style16"/>
        <w:bidi w:val="0"/>
        <w:jc w:val="start"/>
        <w:rPr/>
      </w:pPr>
      <w:r>
        <w:rPr/>
      </w:r>
    </w:p>
    <w:p>
      <w:pPr>
        <w:pStyle w:val="Heading3"/>
        <w:bidi w:val="0"/>
        <w:jc w:val="start"/>
        <w:rPr/>
      </w:pPr>
      <w:r>
        <w:rPr>
          <w:rStyle w:val="Strong"/>
          <w:b/>
          <w:bCs/>
        </w:rPr>
        <w:t>Closing Observation</w:t>
      </w:r>
    </w:p>
    <w:p>
      <w:pPr>
        <w:pStyle w:val="BodyText"/>
        <w:bidi w:val="0"/>
        <w:jc w:val="start"/>
        <w:rPr/>
      </w:pPr>
      <w:r>
        <w:rPr/>
        <w:t xml:space="preserve">Perhaps the lesson is this: </w:t>
      </w:r>
      <w:r>
        <w:rPr>
          <w:rStyle w:val="Strong"/>
        </w:rPr>
        <w:t>pure logic is a dead end when dealing with the mind.</w:t>
      </w:r>
      <w:r>
        <w:rPr/>
        <w:t xml:space="preserve"> The mind doesn’t operate on binary truth; it thrives in gray areas, in contradictions held together by something as intangible as </w:t>
      </w:r>
      <w:r>
        <w:rPr>
          <w:rStyle w:val="Emphasis"/>
        </w:rPr>
        <w:t>faith</w:t>
      </w:r>
      <w:r>
        <w:rPr/>
        <w:t xml:space="preserve"> or </w:t>
      </w:r>
      <w:r>
        <w:rPr>
          <w:rStyle w:val="Emphasis"/>
        </w:rPr>
        <w:t>intention</w:t>
      </w:r>
      <w:r>
        <w:rPr/>
        <w:t xml:space="preserve">. The guides that last aren’t the ones that are flawless—they’re the ones we </w:t>
      </w:r>
      <w:r>
        <w:rPr>
          <w:rStyle w:val="Emphasis"/>
        </w:rPr>
        <w:t>commit</w:t>
      </w:r>
      <w:r>
        <w:rPr/>
        <w:t xml:space="preserve"> to, paradoxes and all.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3"/>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3"/>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paragraph" w:styleId="Style1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4">
    <w:name w:val="Указатель"/>
    <w:basedOn w:val="Normal"/>
    <w:qFormat/>
    <w:pPr>
      <w:suppressLineNumbers/>
    </w:pPr>
    <w:rPr>
      <w:rFonts w:cs="Arial"/>
    </w:rPr>
  </w:style>
  <w:style w:type="paragraph" w:styleId="Style15">
    <w:name w:val="Блочная цитата"/>
    <w:basedOn w:val="Normal"/>
    <w:qFormat/>
    <w:pPr>
      <w:spacing w:before="0" w:after="283"/>
      <w:ind w:hanging="0" w:start="567" w:end="567"/>
    </w:pPr>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629</Words>
  <Characters>3008</Characters>
  <CharactersWithSpaces>3598</CharactersWithSpaces>
  <Paragraphs>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2026-03-24T07:24:53Z</dcterms:created>
  <dc:creator/>
  <dc:description/>
  <dc:language>ru-RU</dc:language>
  <cp:lastModifiedBy/>
  <dcterms:modified xsi:type="dcterms:W3CDTF">2026-03-24T07:24:55Z</dcterms:modified>
  <cp:revision>2</cp:revision>
  <dc:subject/>
  <dc:title>Calibri</dc:title>
</cp:coreProperties>
</file>